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9A" w:rsidRPr="00501EA4" w:rsidRDefault="000E2F9A" w:rsidP="000E2F9A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</w:pPr>
      <w:r w:rsidRPr="00501EA4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>ПИСЬМО Минтруда РФ от 11.05.2017 № 18-4/10/П-2943</w:t>
      </w:r>
    </w:p>
    <w:p w:rsidR="000E2F9A" w:rsidRPr="000E2F9A" w:rsidRDefault="000E2F9A" w:rsidP="000E2F9A">
      <w:pPr>
        <w:shd w:val="clear" w:color="auto" w:fill="C85A1B"/>
        <w:spacing w:after="0" w:line="405" w:lineRule="atLeast"/>
        <w:jc w:val="center"/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</w:pPr>
      <w:r w:rsidRPr="000E2F9A"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  <w:t>14 июня</w:t>
      </w:r>
    </w:p>
    <w:p w:rsidR="000E2F9A" w:rsidRPr="00501EA4" w:rsidRDefault="000E2F9A" w:rsidP="000E2F9A">
      <w:pPr>
        <w:shd w:val="clear" w:color="auto" w:fill="FFFFFF"/>
        <w:spacing w:after="240" w:line="336" w:lineRule="atLeast"/>
        <w:jc w:val="center"/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</w:pPr>
      <w:r w:rsidRPr="00501EA4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t>МИНИСТЕРСТВО ТРУДА И СОЦИАЛЬНОЙ ЗАЩИТЫ РОССИЙСКОЙ ФЕДЕРАЦИИ</w:t>
      </w:r>
    </w:p>
    <w:p w:rsidR="000E2F9A" w:rsidRPr="00501EA4" w:rsidRDefault="000E2F9A" w:rsidP="000E2F9A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</w:pPr>
      <w:r w:rsidRPr="00501EA4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t>ПИСЬМО</w:t>
      </w:r>
      <w:r w:rsidRPr="00501EA4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br/>
        <w:t>от 11 мая 2017 г. N 18-4/10/П-2943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соответствии с подпунктом «6а» пункта 2 поручения Правительства Российской Федерации от 30 апреля 2016 г. N ДМ-П17-2666, во исполнение абзаца второго подпункта «ж» пункта 1 Национального плана противодействия коррупции на 2016 — 2017 годы, утвержденного Указом Президента Российской Федерации от 1 апреля 2016 г. N 147, Минтруд России направляет для использования в работе 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Методические рекомендации также размещены на официальном сайте Министерства и доступны для скачивания по ссылке: http://www.rosmintrud.ru/ministry/programms/anticorruption/9/4.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М.А.ТОПИЛИН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bookmarkStart w:id="0" w:name="_GoBack"/>
      <w:bookmarkEnd w:id="0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Приложение</w:t>
      </w:r>
    </w:p>
    <w:p w:rsidR="000E2F9A" w:rsidRPr="00501EA4" w:rsidRDefault="000E2F9A" w:rsidP="000E2F9A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</w:pPr>
      <w:r w:rsidRPr="00501EA4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t>МЕТОДИЧЕСКИЕ РЕКОМЕНДАЦИИ</w:t>
      </w:r>
      <w:r w:rsidRPr="00501EA4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br/>
        <w:t>ПО ВОПРОСАМ СОБЛЮДЕНИЯ ОГРАНИЧЕНИЙ, НАЛАГАЕМЫХ</w:t>
      </w:r>
      <w:r w:rsidRPr="00501EA4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br/>
        <w:t>НА ГРАЖДАНИНА, ЗАМЕЩАВШЕГО ДОЛЖНОСТЬ ГОСУДАРСТВЕННОЙ</w:t>
      </w:r>
      <w:r w:rsidRPr="00501EA4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br/>
        <w:t>ИЛИ МУНИЦИПАЛЬНОЙ СЛУЖБЫ, ПРИ ЗАКЛЮЧЕНИИ ИМ ТРУДОВОГО</w:t>
      </w:r>
      <w:r w:rsidRPr="00501EA4">
        <w:rPr>
          <w:rFonts w:ascii="Arial" w:eastAsia="Times New Roman" w:hAnsi="Arial" w:cs="Arial"/>
          <w:b/>
          <w:color w:val="464646"/>
          <w:sz w:val="21"/>
          <w:szCs w:val="21"/>
          <w:lang w:eastAsia="ru-RU"/>
        </w:rPr>
        <w:br/>
        <w:t>ИЛИ ГРАЖДАНСКО-ПРАВОВОГО ДОГОВОРА С ОРГАНИЗАЦИЕЙ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I. Общие положения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N 273-ФЗ «О противодействии коррупции» (далее — Федеральный закон N 273-ФЗ), содержащей ограничения на осуществление трудовой деятельности и оказание услуг для гражданина — бывшего государственного (муниципального) служащего.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неправомерном использовании служебной информации в интересах организации после трудоустройства.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3. Методические рекомендации ориентированы на следующих лиц: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1) гражданин — бывший государственный (муниципальный) служащий (далее также — гражданин) 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———————————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Настоящие Методические рекомендации не распространяются на граждан, вопросы о даче согласия на 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«а»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2) бывший представитель нанимателя (работодателя) — государственный орган, орган местного самоуправления, в котором гражданин замещал должность государственной (муниципальной) службы (далее также — государственный (муниципальный) орган);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3) новый работодатель —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— организация).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II. Условия, влекущие необходимость получения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гражданином — бывшим государственным (муниципальным)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служащим согласия комиссии по соблюдению требований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к служебному поведению государственных или муниципальных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служащих и урегулированию конфликта интересов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— комиссия), являются: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1) нахождение должности, которую замещал гражданин, в перечне, установленном нормативными правовыми актами Российской Федерации 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———————————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соответствии с пунктом 3 статьи 1 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б) законы и иные нормативные правовые акты органов государственной власти субъектов Российской Федерации;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в) муниципальные правовые акты.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Указом Президента Российской Федерации от 21 июля 2010 г. N 925 «О мерах по реализации отдельных положений Федерального закона «О противодействии коррупции» (далее — Указ N 925) предусмотрены следующие должности, замещение которых влечет ограничения после увольнения с государственной или муниципальной службы: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— Указ N 557);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N 557.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Пунктом 4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N 273-ФЗ.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Принципиально важным для определения условий о распространении на гражданина ограничений, предусмотренных статьей 12 Федерального закона N 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N 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 , в которую он трудоустраивается.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———————————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соответствии с пунктом 4 статьи 1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—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3) прошло менее двух лет со дня увольнения гражданина с государственной (муниципальной) службы.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Период, в течение которого действуют установленные статьей 12 Федерального закона N 273-ФЗ ограничения, начинается со дня увольнения с государственной (муниципальной) службы и заканчиваются через два года.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Принятие решения о получении согласия комиссии осуществляется исходя из совокупности 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вышеуказанных условий.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5. Ограничения, предусмотренные статьей 12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6. Не требуется дача согласия комиссии в следующих ситуациях: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гражданин не осуществлял функции государственного, муниципального (административного) управления организацией.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III. Порядок направления гражданином — бывшим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государственным (муниципальным) служащим обращения о даче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согласия на трудоустройство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— Положение о комиссиях, Указ N 821).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 8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N 821 при разработке названных положений).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8. В соответствии с абзацем вторым подпункта «б» пункта 16 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— обращение).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10. В обращении указываются следующие сведения: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1) фамилия, имя, отчество гражданина, дата его рождения, адрес места жительства;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2) замещаемые должности в течение последних двух лет до дня увольнения с государственной (муниципальной) службы;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8) вид договора (трудовой или гражданско-правовой);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— дата начала его действия;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10) сумма оплаты за выполнение (оказание) по договору работ (услуг) (предполагаемая сумма в рублях в течение месяца);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11) информация о намерении лично присутствовать на заседании комиссии (пункт 19 Положения о комиссиях).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IV. Порядок рассмотрения обращения гражданина — бывшего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государственного (муниципального) служащего о даче согласия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на трудоустройство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12. 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13. При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14. 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19. В ходе подготовки мотивированного заключения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рекомендуется: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о лицензировании отдельных видов деятельности, выдаче разрешений на отдельные виды работ;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о размещении заказов на поставку товаров, выполнение работ и оказание услуг для государственных нужд;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о регистрации имущества и сделок с ним;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о проведении государственной экспертизы и выдаче заключений;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об осуществлении государственного надзора и (или) контроля;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о привлечении к ответственности;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среднеустановленного</w:t>
      </w:r>
      <w:proofErr w:type="spell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N 557, правовыми актами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21. 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комиссии: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в) рассматривает ходатайства о приглашении на заседание комиссии лиц, указанных в подпункте «б» пункта 13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23. Под информацией, содержащей основания для проведения заседания комиссии, в рассматриваемом случае понимается: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1) наличие соответствующего обращения гражданина;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2) 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о возможности или невозможности дачи гражданину согласия на заключение трудового (гражданско-правового) договора с организацией.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24. С подготовленным мотивированным заключением рекомендуется ознакомить гражданина до 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заседания комиссии. Рекомендуется установить срок ознакомления за 1 — 2 дня до планируемого заседания комиссии.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——————————————————————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proofErr w:type="spell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КонсультантПлюс</w:t>
      </w:r>
      <w:proofErr w:type="spell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: примечание.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Нумерация разделов дана в соответствии с официальным текстом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документа.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——————————————————————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IV. Направление обращения в случае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упразднения государственного (муниципального)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органа,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котором гражданин замещал должность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25. В соответствии с письмом Министерства финансов Российской Федерации от 16 июня 2003 г. N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статьи 61 Гражданского кодекса Российской Федерации (далее — ГК РФ).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26. При этом регистрация и согласование документов, связанных с реорганизацией и ликвидацией учреждения, осуществляются в соответствии с положениями ГК РФ и Федерального закона от 8 августа 2001 г. N 129-ФЗ «О государственной регистрации юридических лиц и индивидуальных предпринимателей».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27. Согласно части 4 статьи 62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28. 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29.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(муниципального) государственного органа.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30. 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N 41 «О 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31. В случае, если ликвидация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32.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33. Согласно пункту 3 части 3 статьи 24 Федерального закона от 27 июля 2004 г. N 79-ФЗ «О государственной гражданской службе Российской Федерации» (далее — Федеральный закон N 79-ФЗ) должностной регламент является одним из существенных условий служебного контракта.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34. В соответствии с частью 8 указанной статьи Федерального закона N 79-ФЗ один экземпляр служебного контракта передается государственному гражданскому служащему (далее — гражданский служащий), другой хранится в его личном деле.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35. Частью 6 статьи 36 Федерального закона N 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36. Согласно приказу Министерства культуры Российской Федерации от 25 августа 2010 г. N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37. Исходя из положений статьи 5 Федерального закона от 22 октября 2004 г. N 125-ФЗ «Об архивном деле в Российской Федерации» (далее — Федеральный закон N 125-ФЗ) указанные личные дела включаются в состав Архивного фонда Российской Федерации.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38. В соответствии с частью 8 статьи 23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39. 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V. Рассмотрение обращения на заседании комиссии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40. На основании пункта 19 Положения о комиссиях заседание комиссии проводится, как правило, в присутствии гражданина.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41. О намерении лично присутствовать на заседании комиссии гражданин указывает в обращении.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42. Согласно пункту 19.1 Положения о комиссии заседания комиссии могут проводиться в отсутствие гражданина в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случае: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если в обращении не содержится указания о намерении гражданина лично присутствовать на заседании комиссии;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43. 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44. В части 1.1 статьи 12 Федерального закона N 273-ФЗ содержится обязанность комиссии рассмотреть письменное обращение гражданина о даче согласия на замещение на условиях трудового договора 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46. Согласно пункту 24 Положения о комиссиях по итогам рассмотрения обращения гражданина комиссия принимает одно из следующих решений: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47. В соответствии с пунктом 37.1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48.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51. 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VI. Обязанность гражданина — бывшего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государственного (муниципального) служащего сообщать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работодателю о замещении им должности в государственном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(муниципальном) органе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52. В соответствии с частью 2 статьи 12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части 1 данной статьи, сообщать работодателю сведения о последнем месте своей службы.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1 статьи 77 Трудового кодекса Российской Федерации (далее —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шестой части 1 статьи 84 ТК РФ).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VII. Последствия нарушения гражданином — бывшим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государственным (муниципальным) служащим обязанности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сообщать работодателю сведения о последнем месте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своей службы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56. В соответствии с частью 3 статьи 12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57. В целях исключения необходимости расторжения трудового (гражданско-правового) договора 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VIII. Обязанность работодателя сообщать о заключении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 гражданином — бывшим государственным (муниципальным)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служащим трудового (гражданско-правового) договора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58. В соответствии с частью 4 статьи 12 Федерального закона N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59. Данное обязательство также предусмотрено статьей 64.1 ТК РФ.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60. Таким образом, в случае, если на работу устраивается гражданин — бывший государственный (муниципальный) служащий, работодателю следует обратить внимание на следующее.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Если после увольнения гражданина с государственной (муниципальной) службы прошло: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менее двух лет —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более двух лет — сообщать о заключении трудового (гражданско-правового) договора не требуется.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января 2015 г. N 29 (далее — Правила).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63. В соответствии с пунктом 5 Правил в сообщении, направляемом коммерческой (некоммерческой) организацией — работодателем представителю нанимателя (работодателю) гражданина по последнему месту его службы, должны содержаться следующие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сведения: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) фамилия, имя, отчество (при наличии) гражданина. В случае, если фамилия, имя или отчество изменялись, указываются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прежние;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б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число, месяц, год и место рождения гражданина;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г) наименование организации. Полное, а также сокращенное (при наличии).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данные: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дата и номер приказа (распоряжения) или иного решения работодателя, согласно которому гражданин принят на работу;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— срок его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действия;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65. В случае если с гражданином заключен гражданско-правовой договор, наряду со сведениями, указанными в пункте 5 Правил, также указываются следующие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данные: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дата и номер гражданско-правового договора;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б) срок гражданско-правового договора. Сроки начала и окончания выполнения работ (оказания услуг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) предмет гражданско-правового договора. С кратким описанием работы (услуги) и ее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результата;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г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) стоимость работ (услуг) по гражданско-правовому договору. В рублях в течение месяца.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федерального агентства).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таких случаях сообщение о заключении с гражданином —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——————————————————————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proofErr w:type="spell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КонсультантПлюс</w:t>
      </w:r>
      <w:proofErr w:type="spell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: примечание.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Нумерация разделов дана в соответствии с официальным текстом </w:t>
      </w:r>
      <w:proofErr w:type="gram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документа.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——————————————————————</w:t>
      </w:r>
      <w:proofErr w:type="gram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X. Обязанность уведомления государственного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(муниципального) органа при трудоустройстве гражданина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коммерческие (некоммерческие) организации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по совместительству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68. Согласно статье 60.1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N 273-ФЗ, в отношении каждого заключенного договора.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N 273-ФЗ.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XI. Ответственность работодателя за неисполнение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обязанности сообщить о заключении с гражданином — бывшим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гражданским (муниципальным) служащим трудового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(гражданско-правового) договора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74. В соответствии с частью 5 статьи 12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—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75. Такая ответственность предусмотрена статьей 19.29 Кодекса Российской Федерации об административных правонарушениях (далее —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76. 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N 273-ФЗ, —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влечет наложение административного штрафа: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на граждан в размере от двух тысяч до четырех тысяч рублей;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на должностных лиц — от двадцати тысяч до пятидесяти тысяч рублей;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— на юридических лиц — от ста тысяч до пятисот тысяч рублей.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77. Согласно Обзору судебной практики по делам о привлечении к административной ответственности, предусмотренной статьей 19.29 КоАП РФ,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N 273-ФЗ.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78. Данные нарушения могут, в том числе, состоять: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1) в </w:t>
      </w:r>
      <w:proofErr w:type="spell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ненаправлении</w:t>
      </w:r>
      <w:proofErr w:type="spell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Ответственность по статье 19.29 КоАП РФ 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79. В силу части 1 статьи 4.5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81. Согласно статье 28.4 КоАП РФ дела об административных правонарушениях, предусмотренных статьей 19.29 КоАП РФ, возбуждаются прокурором.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82. В соответствии с частями 1 и 3 статьи 23.1 КоАП РФ дела об административном правонарушении, предусмотренном статьей 19.29 КоАП РФ, рассматривают судьи судов общей юрисдикции.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XII. Рассмотрение сообщения работодателя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83. 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N 273-ФЗ.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84. 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обоснованное решение о вынесении либо </w:t>
      </w:r>
      <w:proofErr w:type="spell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невынесении</w:t>
      </w:r>
      <w:proofErr w:type="spell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вопроса о рассмотрении уведомления на заседание комиссии.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85. 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87. Уведомление работодателя рассматривается в том же порядке, что и обращение гражданина на основании пункта 17.5 Положения о комиссиях.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88. На основании пункта 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89. Отсутствие у гражданина согласия комиссии для работодателя не может являться основанием для </w:t>
      </w:r>
      <w:proofErr w:type="spellStart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незаключения</w:t>
      </w:r>
      <w:proofErr w:type="spellEnd"/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91.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XIII. Осуществление проверки соблюдения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гражданином — бывшим государственным (муниципальным)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служащим ограничений</w:t>
      </w:r>
    </w:p>
    <w:p w:rsidR="000E2F9A" w:rsidRPr="000E2F9A" w:rsidRDefault="000E2F9A" w:rsidP="000E2F9A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93. В соответствии с частью 6 статьи 12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94. Предусмотренное статьей 12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95.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«О мерах по совершенствованию организации деятельности в области противодействия коррупции»).</w:t>
      </w:r>
      <w:r w:rsidRPr="000E2F9A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96. В случае получения в ходе проверки объективных данных о нарушении ограничений, установленных статьей 12 Федерального закона N 273-ФЗ, государственному (муниципальному) органу необходимо информировать об этом прокуратуру, на которую в соответствии с Федеральным законом от 17 января 1992 г. N 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 </w:t>
      </w:r>
    </w:p>
    <w:p w:rsidR="00CB48BC" w:rsidRDefault="00CB48BC"/>
    <w:sectPr w:rsidR="00CB48BC" w:rsidSect="000E2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7B"/>
    <w:rsid w:val="000E2F9A"/>
    <w:rsid w:val="00323E7B"/>
    <w:rsid w:val="00501EA4"/>
    <w:rsid w:val="00C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B721C-EA2D-43EB-B497-916F90C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8931</Words>
  <Characters>50910</Characters>
  <Application>Microsoft Office Word</Application>
  <DocSecurity>0</DocSecurity>
  <Lines>424</Lines>
  <Paragraphs>119</Paragraphs>
  <ScaleCrop>false</ScaleCrop>
  <Company/>
  <LinksUpToDate>false</LinksUpToDate>
  <CharactersWithSpaces>59722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2017-08-15T12:13:00Z</dcterms:created>
  <dcterms:modified xsi:type="dcterms:W3CDTF">2017-09-06T12:27:00Z</dcterms:modified>
</cp:coreProperties>
</file>